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31" w:rsidRPr="007334DF" w:rsidRDefault="00F11D31" w:rsidP="007334DF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</w:pPr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t>УХВАЛА II Міжнародної</w:t>
      </w:r>
      <w:r w:rsid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t>науково-практичної</w:t>
      </w:r>
      <w:r w:rsid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t xml:space="preserve">конференції </w:t>
      </w:r>
      <w:proofErr w:type="spellStart"/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t>ІСОМ</w:t>
      </w:r>
      <w:proofErr w:type="spellEnd"/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t xml:space="preserve"> України</w:t>
      </w:r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br/>
        <w:t>«СУЧАСНІ АСПЕКТИ ПРИРОДНИЧОЇ МУЗЕОЛОГІЇ» </w:t>
      </w:r>
      <w:r w:rsidRPr="007334DF">
        <w:rPr>
          <w:rFonts w:ascii="Arial" w:eastAsia="Times New Roman" w:hAnsi="Arial" w:cs="Arial"/>
          <w:b/>
          <w:bCs/>
          <w:color w:val="009C97"/>
          <w:sz w:val="28"/>
          <w:szCs w:val="28"/>
          <w:lang w:val="uk-UA" w:eastAsia="ru-RU"/>
        </w:rPr>
        <w:br/>
        <w:t>Київ-Канів, 11-14 вересня 2012 року</w:t>
      </w:r>
    </w:p>
    <w:p w:rsidR="00F11D31" w:rsidRPr="007334DF" w:rsidRDefault="00F11D31" w:rsidP="007334DF">
      <w:pPr>
        <w:shd w:val="clear" w:color="auto" w:fill="FFFFFF"/>
        <w:spacing w:before="100" w:beforeAutospacing="1" w:after="119" w:line="240" w:lineRule="auto"/>
        <w:ind w:left="13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11-14 вересня 2012 року на базі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науково-природничого музею НАН України (ННПМ НАНУ) та Канівського природного заповідника ННЦ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“Інститутбіології”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Київського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імені Тараса Шевченка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відбулася II Міжнародна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науково-практична конференція  «Сучасні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аспекти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музеології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>». Ця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конференція проводилась за рішенням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Всеукраїнської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науко-практичної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конференції, яка проходила 17-18 вересня 2009 року у м. Кам’янець-Подільський.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В роботі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 взяли участь 50 працівників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музеїв з 10 областей України та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Російської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Федерації, які представляли 20 музейних, наукових, природоохоронних та навчальних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установ.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За програмою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роботи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проведені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пленарні та секційні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засідання з питань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природничо-музейної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діяльності. Проведено екскурсію «Екологічна стежка Канівського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заповідника та меморіал Тараса Шевченка».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Учасники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розглянули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наступні  питання: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1) природничий музей, як об'єкт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теоретичних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досліджень;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2) історія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музейної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справи;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3) принципи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художнього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оформлення та використання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новітніх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технологій для формування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сучасної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експозиції;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4) природничі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фонди: облік та збереження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музейних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колекцій;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5) розвиток, маркетинг і менеджмент сучасного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природничого музею;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6) роль та значення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природничих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музеїв у формуванні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екологічної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свідомості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суспільства та вихованні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особистості.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Учасники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констатують, що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основними аспектами природничої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музеології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є використання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новітніх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технологій для формування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сучасної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експозиції та розвиток, маркетинг і менеджмент сучасного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природничого музею. Розглянуті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питання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свідчать про перспективність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розширення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поняття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музейної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сфери за межами будівель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музеїв. Актуальним є також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розвиток музейного менеджменту. Досвід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показує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що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недостатність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фахівців у цій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галузі  негативно впливає на стан музейної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справи в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Україні. Ґрунтовноговпровадженняпотребуєвведенняприродничо-музейноїпедагогіки.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Після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заслуховування та обговорення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доповідей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учасники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ухвалили: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Відзначити, що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роботи, які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виконують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колективи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музеїв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України за вищенаведенихнапрямківвціломувідповідаютьсучасномурівнюсвітовоїмузейної практики.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З метою посилення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науково-фондової та дослідницької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роботи у природничих музеях України провести підготовчу роботу щодо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створення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спеціалізованої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вченої ради по захисту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дисертацій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зі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спеціальності «Природнича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музеологія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>» при ННПМ НАНУ (відповідальний член-кореспондент НАНУ Ємельянов І.Г.).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Природничій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секції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Українського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комітету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Міжнародної ради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музіїв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(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ІСОМ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України) розробити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типовий проект-клопотання до Міністерства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освіти і науки, молоді та спорту України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щодо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введення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до складу об’єктів, що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становлять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національне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надбання: Музей природи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Харківського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імені В.Н.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Каразіна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та зоологічні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Київського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імені Тараса Шевченка, Одеського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імені І.І. 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Мечнікова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>, Дніпропетровського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імені Олеся Гончара, Ужгородського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університету, Таврійського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lastRenderedPageBreak/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імені І.В. Вернадського (відповідальні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Шидловський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І.В., Дзюбенко Н.В.,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Резніченко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> Л.А.).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Продовжити роботу з каталогізації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природничих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музеїв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різного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відомчого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підпорядкування (відповідальні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Шидловський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І.В.,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Писанець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Є.М., Червоненко О.В.).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Активізуватидіяльністьгрупрегіональнихпредставниківтавизначитиїхнюрегіональну проблематику (відповідальні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Чернобай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Ю.М.,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Бокотей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А.А.).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Розробити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типову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інструкцію з обліку, збереження і порядку користування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науковими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природничими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колекціями (відповідальні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Климишин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О.С., Дзюбенко Н.В., Червоненко О.В.).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Керівництву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секції ICOM України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організувати і систематизувати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пропозиції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щодо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підвищення статусу професії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таксидерміст (відповідальний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Бокотей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А.А.).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Створити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інтернет-сторінку</w:t>
      </w:r>
      <w:proofErr w:type="spellEnd"/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Природничої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секції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ІСОМ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України для розміщення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авторських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матеріалів, поданих до друку (відповідальний  Дзюбенко Н.В.).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Започаткувати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проведення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тематичних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семінарів з таксидермії, експозиційного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оформлення, фондової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роботи та інших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видів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практичної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музейної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діяльності, не рідше одного разу на рік (відповідальні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Бокотей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А.А., Король Е.М.,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Резніченко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Л.А.).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Звернутися до дирекції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Міського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краєзнавчого музею м. 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Нетішин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провести у наступному (2013 році) семінар з природничо-музейної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педагогіки (відповідальний</w:t>
      </w:r>
      <w:r w:rsidR="007334DF">
        <w:rPr>
          <w:rFonts w:ascii="Arial" w:eastAsia="Times New Roman" w:hAnsi="Arial" w:cs="Arial"/>
          <w:color w:val="003333"/>
          <w:lang w:val="en-US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Новосад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В.В.).</w:t>
      </w:r>
    </w:p>
    <w:p w:rsidR="00F11D31" w:rsidRPr="007334DF" w:rsidRDefault="00F11D31" w:rsidP="007334DF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85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Звернутися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до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Ректорату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Харківського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національного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університету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імені В.Н.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Каразіна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та дире</w:t>
      </w:r>
      <w:r w:rsidR="007334DF">
        <w:rPr>
          <w:rFonts w:ascii="Arial" w:eastAsia="Times New Roman" w:hAnsi="Arial" w:cs="Arial"/>
          <w:color w:val="003333"/>
          <w:lang w:val="uk-UA" w:eastAsia="ru-RU"/>
        </w:rPr>
        <w:t>кції Музею природи провести на 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базі Музею у 2015 році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наступну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науково-практичну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конференцію з природничої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музеології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(відповідальні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Чернобай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 Ю.М.,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Резніченко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Л.А.).</w:t>
      </w:r>
    </w:p>
    <w:p w:rsidR="00F11D31" w:rsidRPr="007334DF" w:rsidRDefault="00F11D31" w:rsidP="007334DF">
      <w:pPr>
        <w:shd w:val="clear" w:color="auto" w:fill="FFFFFF"/>
        <w:spacing w:before="100" w:beforeAutospacing="1" w:after="119" w:line="240" w:lineRule="auto"/>
        <w:ind w:left="13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Висловити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щиру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подяку за допомогу в проведенні</w:t>
      </w:r>
      <w:r w:rsidR="007334DF" w:rsidRPr="007334DF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конференції секретарю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ІСОМ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України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Юлії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Олександрівні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Литвинець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>, ректору КНУ імені Тараса Шевченка</w:t>
      </w:r>
      <w:r w:rsidR="007334DF" w:rsidRPr="007334DF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академіку НАН України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Губерському</w:t>
      </w:r>
      <w:proofErr w:type="spellEnd"/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Леоніду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Васильовичу, директору ННЦ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“Інститут</w:t>
      </w:r>
      <w:proofErr w:type="spellEnd"/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біології”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КНУ імені Тараса Шевченка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професору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Остапченко</w:t>
      </w:r>
      <w:proofErr w:type="spellEnd"/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Людмилі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Іванівні, директору Канівського природного заповіднику</w:t>
      </w:r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Пилипенку</w:t>
      </w:r>
      <w:proofErr w:type="spellEnd"/>
      <w:r w:rsidR="00D37C8B" w:rsidRPr="00D37C8B">
        <w:rPr>
          <w:rFonts w:ascii="Arial" w:eastAsia="Times New Roman" w:hAnsi="Arial" w:cs="Arial"/>
          <w:color w:val="003333"/>
          <w:lang w:val="uk-UA"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Володимиру Петровичу.</w:t>
      </w:r>
    </w:p>
    <w:p w:rsidR="00F11D31" w:rsidRPr="007334DF" w:rsidRDefault="00F11D31" w:rsidP="007334DF">
      <w:pPr>
        <w:shd w:val="clear" w:color="auto" w:fill="FFFFFF"/>
        <w:spacing w:before="100" w:beforeAutospacing="1" w:after="119" w:line="240" w:lineRule="auto"/>
        <w:ind w:left="13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14 вересня 2012 року</w:t>
      </w:r>
    </w:p>
    <w:p w:rsidR="00F11D31" w:rsidRPr="007334DF" w:rsidRDefault="00F11D31" w:rsidP="007334DF">
      <w:pPr>
        <w:shd w:val="clear" w:color="auto" w:fill="FFFFFF"/>
        <w:spacing w:before="100" w:beforeAutospacing="1" w:after="119" w:line="240" w:lineRule="auto"/>
        <w:ind w:left="13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>Комісія по складанню проекту ухвали</w:t>
      </w:r>
      <w:r w:rsidR="00D37C8B" w:rsidRPr="00D37C8B">
        <w:rPr>
          <w:rFonts w:ascii="Arial" w:eastAsia="Times New Roman" w:hAnsi="Arial" w:cs="Arial"/>
          <w:color w:val="003333"/>
          <w:lang w:eastAsia="ru-RU"/>
        </w:rPr>
        <w:t xml:space="preserve"> 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t>конференції:</w:t>
      </w:r>
    </w:p>
    <w:p w:rsidR="00F11D31" w:rsidRPr="007334DF" w:rsidRDefault="00F11D31" w:rsidP="007334DF">
      <w:pPr>
        <w:shd w:val="clear" w:color="auto" w:fill="FFFFFF"/>
        <w:spacing w:before="100" w:beforeAutospacing="1" w:after="119" w:line="240" w:lineRule="auto"/>
        <w:ind w:left="135" w:right="135"/>
        <w:rPr>
          <w:rFonts w:ascii="Arial" w:eastAsia="Times New Roman" w:hAnsi="Arial" w:cs="Arial"/>
          <w:color w:val="003333"/>
          <w:lang w:val="uk-UA" w:eastAsia="ru-RU"/>
        </w:rPr>
      </w:pPr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1.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Чернобай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Ю.М.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2. Червоненко О.В.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3. Литвиненко О.І.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 xml:space="preserve">4.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Резніченко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Л.А.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>5. Нестеренко Л.І.</w:t>
      </w:r>
      <w:r w:rsidRPr="007334DF">
        <w:rPr>
          <w:rFonts w:ascii="Arial" w:eastAsia="Times New Roman" w:hAnsi="Arial" w:cs="Arial"/>
          <w:color w:val="003333"/>
          <w:lang w:val="uk-UA" w:eastAsia="ru-RU"/>
        </w:rPr>
        <w:br/>
        <w:t xml:space="preserve">6. </w:t>
      </w:r>
      <w:proofErr w:type="spellStart"/>
      <w:r w:rsidRPr="007334DF">
        <w:rPr>
          <w:rFonts w:ascii="Arial" w:eastAsia="Times New Roman" w:hAnsi="Arial" w:cs="Arial"/>
          <w:color w:val="003333"/>
          <w:lang w:val="uk-UA" w:eastAsia="ru-RU"/>
        </w:rPr>
        <w:t>Шидловський</w:t>
      </w:r>
      <w:proofErr w:type="spellEnd"/>
      <w:r w:rsidRPr="007334DF">
        <w:rPr>
          <w:rFonts w:ascii="Arial" w:eastAsia="Times New Roman" w:hAnsi="Arial" w:cs="Arial"/>
          <w:color w:val="003333"/>
          <w:lang w:val="uk-UA" w:eastAsia="ru-RU"/>
        </w:rPr>
        <w:t xml:space="preserve"> І.В.</w:t>
      </w:r>
    </w:p>
    <w:p w:rsidR="00F11D31" w:rsidRPr="007334DF" w:rsidRDefault="00F11D31" w:rsidP="007334DF">
      <w:pPr>
        <w:shd w:val="clear" w:color="auto" w:fill="FFFFFF"/>
        <w:spacing w:before="100" w:beforeAutospacing="1" w:after="240" w:line="240" w:lineRule="auto"/>
        <w:ind w:right="135"/>
        <w:rPr>
          <w:rFonts w:ascii="Arial" w:eastAsia="Times New Roman" w:hAnsi="Arial" w:cs="Arial"/>
          <w:color w:val="003333"/>
          <w:lang w:val="uk-UA" w:eastAsia="ru-RU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7334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7334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7334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7334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334D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 </w:t>
            </w:r>
          </w:p>
        </w:tc>
      </w:tr>
      <w:tr w:rsidR="00F11D31" w:rsidRPr="007334DF" w:rsidTr="00F11D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D31" w:rsidRPr="007334DF" w:rsidRDefault="00F11D31" w:rsidP="00F11D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</w:tbl>
    <w:p w:rsidR="00F11D31" w:rsidRPr="00F11D31" w:rsidRDefault="00F11D31" w:rsidP="00F11D31">
      <w:pPr>
        <w:shd w:val="clear" w:color="auto" w:fill="FFFFFF"/>
        <w:spacing w:before="100" w:beforeAutospacing="1" w:after="119" w:line="240" w:lineRule="auto"/>
        <w:ind w:left="135" w:right="135"/>
        <w:jc w:val="both"/>
        <w:rPr>
          <w:rFonts w:ascii="Arial" w:eastAsia="Times New Roman" w:hAnsi="Arial" w:cs="Arial"/>
          <w:color w:val="003333"/>
          <w:lang w:eastAsia="ru-RU"/>
        </w:rPr>
      </w:pPr>
      <w:r w:rsidRPr="00F11D31">
        <w:rPr>
          <w:rFonts w:ascii="Arial" w:eastAsia="Times New Roman" w:hAnsi="Arial" w:cs="Arial"/>
          <w:color w:val="003333"/>
          <w:lang w:eastAsia="ru-RU"/>
        </w:rPr>
        <w:t> </w:t>
      </w:r>
    </w:p>
    <w:p w:rsidR="00260E7D" w:rsidRDefault="00260E7D"/>
    <w:sectPr w:rsidR="00260E7D" w:rsidSect="00AF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2C5B"/>
    <w:multiLevelType w:val="multilevel"/>
    <w:tmpl w:val="D43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6CF7"/>
    <w:rsid w:val="00260E7D"/>
    <w:rsid w:val="00376CF7"/>
    <w:rsid w:val="00656ED9"/>
    <w:rsid w:val="007334DF"/>
    <w:rsid w:val="00AF355B"/>
    <w:rsid w:val="00D37C8B"/>
    <w:rsid w:val="00F1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5B"/>
  </w:style>
  <w:style w:type="paragraph" w:styleId="4">
    <w:name w:val="heading 4"/>
    <w:basedOn w:val="a"/>
    <w:link w:val="40"/>
    <w:uiPriority w:val="9"/>
    <w:qFormat/>
    <w:rsid w:val="00F11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1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1D31"/>
    <w:rPr>
      <w:b/>
      <w:bCs/>
    </w:rPr>
  </w:style>
  <w:style w:type="character" w:customStyle="1" w:styleId="apple-converted-space">
    <w:name w:val="apple-converted-space"/>
    <w:basedOn w:val="a0"/>
    <w:rsid w:val="00F11D31"/>
  </w:style>
  <w:style w:type="paragraph" w:styleId="a4">
    <w:name w:val="Normal (Web)"/>
    <w:basedOn w:val="a"/>
    <w:uiPriority w:val="99"/>
    <w:semiHidden/>
    <w:unhideWhenUsed/>
    <w:rsid w:val="00F1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1D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11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1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1D31"/>
    <w:rPr>
      <w:b/>
      <w:bCs/>
    </w:rPr>
  </w:style>
  <w:style w:type="character" w:customStyle="1" w:styleId="apple-converted-space">
    <w:name w:val="apple-converted-space"/>
    <w:basedOn w:val="a0"/>
    <w:rsid w:val="00F11D31"/>
  </w:style>
  <w:style w:type="paragraph" w:styleId="a4">
    <w:name w:val="Normal (Web)"/>
    <w:basedOn w:val="a"/>
    <w:uiPriority w:val="99"/>
    <w:semiHidden/>
    <w:unhideWhenUsed/>
    <w:rsid w:val="00F1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11D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B7A5-D894-4D82-B0FC-71674E85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Юлiя</dc:creator>
  <cp:keywords/>
  <dc:description/>
  <cp:lastModifiedBy>User</cp:lastModifiedBy>
  <cp:revision>4</cp:revision>
  <cp:lastPrinted>2012-11-13T09:41:00Z</cp:lastPrinted>
  <dcterms:created xsi:type="dcterms:W3CDTF">2012-11-13T09:40:00Z</dcterms:created>
  <dcterms:modified xsi:type="dcterms:W3CDTF">2015-09-08T10:40:00Z</dcterms:modified>
</cp:coreProperties>
</file>